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BD2" w:rsidRDefault="00FE7BD2" w:rsidP="00FE7BD2">
      <w:pPr>
        <w:jc w:val="center"/>
        <w:rPr>
          <w:sz w:val="18"/>
          <w:szCs w:val="18"/>
        </w:rPr>
      </w:pPr>
    </w:p>
    <w:p w:rsidR="00FE7BD2" w:rsidRPr="00FE7BD2" w:rsidRDefault="00FE7BD2" w:rsidP="00FE7BD2">
      <w:pPr>
        <w:jc w:val="center"/>
        <w:rPr>
          <w:sz w:val="18"/>
          <w:szCs w:val="18"/>
        </w:rPr>
      </w:pPr>
    </w:p>
    <w:p w:rsidR="00470C91" w:rsidRDefault="00470C91" w:rsidP="00FE7BD2">
      <w:pPr>
        <w:jc w:val="center"/>
        <w:rPr>
          <w:sz w:val="96"/>
          <w:szCs w:val="96"/>
        </w:rPr>
      </w:pPr>
    </w:p>
    <w:p w:rsidR="004713BA" w:rsidRDefault="004713BA" w:rsidP="00FE7BD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Our Commitment </w:t>
      </w:r>
    </w:p>
    <w:p w:rsidR="00742267" w:rsidRDefault="004713BA" w:rsidP="00FE7BD2">
      <w:pPr>
        <w:jc w:val="center"/>
        <w:rPr>
          <w:sz w:val="96"/>
          <w:szCs w:val="96"/>
        </w:rPr>
      </w:pPr>
      <w:r>
        <w:rPr>
          <w:sz w:val="96"/>
          <w:szCs w:val="96"/>
        </w:rPr>
        <w:t>to Equality</w:t>
      </w:r>
    </w:p>
    <w:p w:rsidR="00470C91" w:rsidRDefault="00470C91" w:rsidP="00FE7BD2">
      <w:pPr>
        <w:jc w:val="center"/>
        <w:rPr>
          <w:sz w:val="96"/>
          <w:szCs w:val="96"/>
        </w:rPr>
      </w:pPr>
    </w:p>
    <w:p w:rsidR="00FE7BD2" w:rsidRDefault="00FE7BD2" w:rsidP="00FE7BD2">
      <w:pPr>
        <w:jc w:val="center"/>
        <w:rPr>
          <w:sz w:val="96"/>
          <w:szCs w:val="96"/>
        </w:rPr>
      </w:pPr>
      <w:r>
        <w:rPr>
          <w:noProof/>
          <w:lang w:eastAsia="en-GB"/>
        </w:rPr>
        <w:drawing>
          <wp:inline distT="0" distB="0" distL="0" distR="0" wp14:anchorId="60F9CE1C" wp14:editId="24BC99FB">
            <wp:extent cx="46958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D2" w:rsidRDefault="00FE7BD2" w:rsidP="00FE7BD2">
      <w:pPr>
        <w:jc w:val="center"/>
        <w:rPr>
          <w:sz w:val="96"/>
          <w:szCs w:val="96"/>
        </w:rPr>
      </w:pPr>
    </w:p>
    <w:p w:rsidR="00470C91" w:rsidRDefault="00470C91" w:rsidP="00FE7BD2">
      <w:pPr>
        <w:jc w:val="center"/>
        <w:rPr>
          <w:sz w:val="96"/>
          <w:szCs w:val="96"/>
        </w:rPr>
      </w:pPr>
    </w:p>
    <w:p w:rsidR="00FE7BD2" w:rsidRDefault="000274AA" w:rsidP="00FE7BD2">
      <w:pPr>
        <w:jc w:val="center"/>
        <w:rPr>
          <w:sz w:val="72"/>
          <w:szCs w:val="72"/>
        </w:rPr>
      </w:pPr>
      <w:r w:rsidRPr="000274AA">
        <w:rPr>
          <w:sz w:val="72"/>
          <w:szCs w:val="72"/>
        </w:rPr>
        <w:t>March 2023</w:t>
      </w:r>
    </w:p>
    <w:p w:rsidR="000274AA" w:rsidRPr="000274AA" w:rsidRDefault="000274AA" w:rsidP="00FE7BD2">
      <w:pPr>
        <w:jc w:val="center"/>
        <w:rPr>
          <w:sz w:val="72"/>
          <w:szCs w:val="72"/>
        </w:rPr>
      </w:pPr>
      <w:r>
        <w:rPr>
          <w:sz w:val="72"/>
          <w:szCs w:val="72"/>
        </w:rPr>
        <w:t>To be reviewed March 2024</w:t>
      </w:r>
    </w:p>
    <w:p w:rsidR="004713BA" w:rsidRDefault="004713BA" w:rsidP="000274AA">
      <w:pPr>
        <w:rPr>
          <w:sz w:val="28"/>
          <w:szCs w:val="28"/>
        </w:rPr>
      </w:pPr>
    </w:p>
    <w:p w:rsidR="000274AA" w:rsidRDefault="000274AA" w:rsidP="000274AA">
      <w:pPr>
        <w:rPr>
          <w:sz w:val="28"/>
          <w:szCs w:val="28"/>
        </w:rPr>
      </w:pPr>
    </w:p>
    <w:p w:rsidR="004713BA" w:rsidRPr="00A517BA" w:rsidRDefault="004713BA" w:rsidP="004713BA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Our Aims</w:t>
      </w:r>
    </w:p>
    <w:p w:rsidR="004713BA" w:rsidRPr="00A517BA" w:rsidRDefault="004713BA" w:rsidP="004713BA">
      <w:pPr>
        <w:rPr>
          <w:sz w:val="24"/>
          <w:szCs w:val="24"/>
        </w:rPr>
      </w:pPr>
      <w:r w:rsidRPr="00A517BA">
        <w:rPr>
          <w:sz w:val="24"/>
          <w:szCs w:val="24"/>
        </w:rPr>
        <w:t>Styal Primary School aims to have due regard to the need to:</w:t>
      </w:r>
    </w:p>
    <w:p w:rsidR="004713BA" w:rsidRPr="00A517BA" w:rsidRDefault="004713BA" w:rsidP="0047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17BA">
        <w:rPr>
          <w:sz w:val="24"/>
          <w:szCs w:val="24"/>
        </w:rPr>
        <w:t>Eliminate discrimination and other conduct prohibited by The Equality Act 2010.</w:t>
      </w:r>
    </w:p>
    <w:p w:rsidR="004713BA" w:rsidRPr="00A517BA" w:rsidRDefault="004713BA" w:rsidP="0047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17BA">
        <w:rPr>
          <w:sz w:val="24"/>
          <w:szCs w:val="24"/>
        </w:rPr>
        <w:t>Advance equality of opportunity between people who share a protected characteristic and people who do not share it.</w:t>
      </w:r>
    </w:p>
    <w:p w:rsidR="004713BA" w:rsidRPr="00A517BA" w:rsidRDefault="004713BA" w:rsidP="004713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17BA">
        <w:rPr>
          <w:sz w:val="24"/>
          <w:szCs w:val="24"/>
        </w:rPr>
        <w:t>Foster good relations across all characteristics – between people who share a protected characteristic and people who do not share it.</w:t>
      </w:r>
    </w:p>
    <w:p w:rsidR="00A517BA" w:rsidRPr="00A517BA" w:rsidRDefault="00A517BA" w:rsidP="00A517BA">
      <w:pPr>
        <w:pStyle w:val="ListParagraph"/>
        <w:rPr>
          <w:sz w:val="24"/>
          <w:szCs w:val="24"/>
        </w:rPr>
      </w:pPr>
    </w:p>
    <w:p w:rsidR="00A53FF9" w:rsidRPr="00A517BA" w:rsidRDefault="00A53FF9" w:rsidP="00A53FF9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Protected Characteristics</w:t>
      </w:r>
    </w:p>
    <w:p w:rsidR="00A517BA" w:rsidRDefault="00A53FF9" w:rsidP="00A53FF9">
      <w:pPr>
        <w:rPr>
          <w:sz w:val="24"/>
          <w:szCs w:val="24"/>
        </w:rPr>
      </w:pPr>
      <w:r w:rsidRPr="00A517BA">
        <w:rPr>
          <w:sz w:val="24"/>
          <w:szCs w:val="24"/>
        </w:rPr>
        <w:t>Schools cannot unlawfully discriminate against pupils because of their sex, race, disability, religion or belief, sexual orientation, gender reassignment, pregnancy or maternity.</w:t>
      </w:r>
    </w:p>
    <w:p w:rsidR="00A517BA" w:rsidRPr="00A517BA" w:rsidRDefault="00A517BA" w:rsidP="00A53FF9">
      <w:pPr>
        <w:rPr>
          <w:sz w:val="24"/>
          <w:szCs w:val="24"/>
        </w:rPr>
      </w:pPr>
    </w:p>
    <w:p w:rsidR="004713BA" w:rsidRPr="00A517BA" w:rsidRDefault="004713BA" w:rsidP="004713BA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Legislation and Guidance</w:t>
      </w:r>
    </w:p>
    <w:p w:rsidR="004713BA" w:rsidRPr="00A517BA" w:rsidRDefault="004E629D" w:rsidP="004713BA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6" w:history="1">
        <w:r w:rsidR="004713BA" w:rsidRPr="00A517BA">
          <w:rPr>
            <w:rStyle w:val="Hyperlink"/>
            <w:sz w:val="24"/>
            <w:szCs w:val="24"/>
          </w:rPr>
          <w:t>The Equality Act 2010</w:t>
        </w:r>
      </w:hyperlink>
    </w:p>
    <w:p w:rsidR="004713BA" w:rsidRPr="00A517BA" w:rsidRDefault="004E629D" w:rsidP="004713BA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7" w:history="1">
        <w:r w:rsidR="004713BA" w:rsidRPr="00A517BA">
          <w:rPr>
            <w:rStyle w:val="Hyperlink"/>
            <w:sz w:val="24"/>
            <w:szCs w:val="24"/>
          </w:rPr>
          <w:t>The Equality Act 2010 (Specific Duties) Regulations 2011</w:t>
        </w:r>
      </w:hyperlink>
    </w:p>
    <w:p w:rsidR="00A517BA" w:rsidRPr="00A517BA" w:rsidRDefault="004E629D" w:rsidP="00A517BA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8" w:history="1">
        <w:r w:rsidR="00A53FF9" w:rsidRPr="00A517BA">
          <w:rPr>
            <w:rStyle w:val="Hyperlink"/>
            <w:sz w:val="24"/>
            <w:szCs w:val="24"/>
          </w:rPr>
          <w:t>The Equality Act 2010 and Schools</w:t>
        </w:r>
      </w:hyperlink>
    </w:p>
    <w:p w:rsidR="00A517BA" w:rsidRPr="00A517BA" w:rsidRDefault="00A517BA" w:rsidP="00A517BA">
      <w:pPr>
        <w:pStyle w:val="ListParagraph"/>
        <w:rPr>
          <w:sz w:val="24"/>
          <w:szCs w:val="24"/>
        </w:rPr>
      </w:pPr>
    </w:p>
    <w:p w:rsidR="004713BA" w:rsidRPr="00A517BA" w:rsidRDefault="00A53FF9" w:rsidP="004713BA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Schools cannot unlawfully discriminate:</w:t>
      </w:r>
    </w:p>
    <w:p w:rsidR="00A53FF9" w:rsidRPr="00A517BA" w:rsidRDefault="00A53FF9" w:rsidP="00A53F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In relation to admissions</w:t>
      </w:r>
    </w:p>
    <w:p w:rsidR="00A53FF9" w:rsidRPr="00A517BA" w:rsidRDefault="00A53FF9" w:rsidP="00A53F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In the way it provides education</w:t>
      </w:r>
    </w:p>
    <w:p w:rsidR="00A53FF9" w:rsidRPr="00A517BA" w:rsidRDefault="00A53FF9" w:rsidP="00A53F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In the way it provides pupils access to any benefit, facility or service</w:t>
      </w:r>
    </w:p>
    <w:p w:rsidR="004F1F0E" w:rsidRPr="00A517BA" w:rsidRDefault="00A53FF9" w:rsidP="004F1F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By excluding a pupil or subjecting them to any other detriment</w:t>
      </w:r>
    </w:p>
    <w:p w:rsidR="00A517BA" w:rsidRPr="00A517BA" w:rsidRDefault="00A517BA" w:rsidP="00A517BA">
      <w:pPr>
        <w:pStyle w:val="ListParagraph"/>
        <w:rPr>
          <w:sz w:val="24"/>
          <w:szCs w:val="24"/>
        </w:rPr>
      </w:pPr>
    </w:p>
    <w:p w:rsidR="00A517BA" w:rsidRPr="00A517BA" w:rsidRDefault="00A517BA" w:rsidP="00A517BA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Roles and Responsibilities</w:t>
      </w:r>
    </w:p>
    <w:p w:rsidR="00A517BA" w:rsidRPr="00A517BA" w:rsidRDefault="00A517BA" w:rsidP="00A517BA">
      <w:pPr>
        <w:rPr>
          <w:sz w:val="24"/>
          <w:szCs w:val="24"/>
        </w:rPr>
      </w:pPr>
      <w:r w:rsidRPr="00A517BA">
        <w:rPr>
          <w:sz w:val="24"/>
          <w:szCs w:val="24"/>
        </w:rPr>
        <w:t xml:space="preserve">The governing board will: </w:t>
      </w:r>
    </w:p>
    <w:p w:rsidR="00A517BA" w:rsidRDefault="00A517BA" w:rsidP="00A517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Ensure the equality information and objectives are published and communicated throughout the school, including to staff, pupils and parents, and th</w:t>
      </w:r>
      <w:r>
        <w:rPr>
          <w:sz w:val="24"/>
          <w:szCs w:val="24"/>
        </w:rPr>
        <w:t>at they are reviewed and update</w:t>
      </w:r>
      <w:r w:rsidRPr="00A517BA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A517BA">
        <w:rPr>
          <w:sz w:val="24"/>
          <w:szCs w:val="24"/>
        </w:rPr>
        <w:t>at least once every four years.</w:t>
      </w:r>
    </w:p>
    <w:p w:rsidR="00A517BA" w:rsidRDefault="00A517BA" w:rsidP="00A517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they are familiar with the legislation and information in this document.</w:t>
      </w:r>
    </w:p>
    <w:p w:rsidR="00A517BA" w:rsidRDefault="00A517BA" w:rsidP="00A517BA">
      <w:pPr>
        <w:rPr>
          <w:sz w:val="24"/>
          <w:szCs w:val="24"/>
        </w:rPr>
      </w:pPr>
      <w:r>
        <w:rPr>
          <w:sz w:val="24"/>
          <w:szCs w:val="24"/>
        </w:rPr>
        <w:t>The headteacher will:</w:t>
      </w:r>
    </w:p>
    <w:p w:rsidR="00A517BA" w:rsidRDefault="00A517BA" w:rsidP="00A517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Promote knowledge and understanding of the equality objectives amongst staff and pupils</w:t>
      </w:r>
    </w:p>
    <w:p w:rsidR="00A517BA" w:rsidRDefault="00A517BA" w:rsidP="00A517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 the success of achieving our objectives and report back to governors</w:t>
      </w:r>
    </w:p>
    <w:p w:rsidR="00A517BA" w:rsidRDefault="00A517BA" w:rsidP="00A517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staff training needs and deliver training where necessary</w:t>
      </w:r>
    </w:p>
    <w:p w:rsidR="00A517BA" w:rsidRDefault="00A517BA" w:rsidP="00A517BA">
      <w:pPr>
        <w:ind w:left="360"/>
        <w:rPr>
          <w:sz w:val="24"/>
          <w:szCs w:val="24"/>
        </w:rPr>
      </w:pPr>
      <w:r w:rsidRPr="00A517BA">
        <w:rPr>
          <w:sz w:val="24"/>
          <w:szCs w:val="24"/>
        </w:rPr>
        <w:lastRenderedPageBreak/>
        <w:t>All staff are expected to have regard to this document and Styal’s Commitment to Equality and work to achieve the objectives.</w:t>
      </w:r>
    </w:p>
    <w:p w:rsidR="00866868" w:rsidRPr="00866868" w:rsidRDefault="00866868" w:rsidP="008668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consult and involve </w:t>
      </w:r>
      <w:r w:rsidR="004E629D">
        <w:rPr>
          <w:sz w:val="24"/>
          <w:szCs w:val="24"/>
        </w:rPr>
        <w:t>those with inequality – parents, pupils, staff and community.</w:t>
      </w:r>
      <w:bookmarkStart w:id="0" w:name="_GoBack"/>
      <w:bookmarkEnd w:id="0"/>
    </w:p>
    <w:p w:rsidR="00A53FF9" w:rsidRPr="00A517BA" w:rsidRDefault="004F1F0E" w:rsidP="00A517BA">
      <w:pPr>
        <w:rPr>
          <w:sz w:val="24"/>
          <w:szCs w:val="24"/>
        </w:rPr>
      </w:pPr>
      <w:r w:rsidRPr="00A517BA">
        <w:rPr>
          <w:b/>
          <w:sz w:val="24"/>
          <w:szCs w:val="24"/>
        </w:rPr>
        <w:t>Eliminating Discrimination at Styal Primary School</w:t>
      </w:r>
    </w:p>
    <w:p w:rsidR="004F1F0E" w:rsidRPr="00A517BA" w:rsidRDefault="004F1F0E" w:rsidP="004F1F0E">
      <w:pPr>
        <w:rPr>
          <w:sz w:val="24"/>
          <w:szCs w:val="24"/>
        </w:rPr>
      </w:pPr>
      <w:r w:rsidRPr="00A517BA">
        <w:rPr>
          <w:sz w:val="24"/>
          <w:szCs w:val="24"/>
        </w:rPr>
        <w:t>School is aware of its obligations under The Equality Act 2010 and complies with non-discrimination provisions.</w:t>
      </w:r>
    </w:p>
    <w:p w:rsidR="004F1F0E" w:rsidRPr="00A517BA" w:rsidRDefault="004F1F0E" w:rsidP="004F1F0E">
      <w:pPr>
        <w:rPr>
          <w:sz w:val="24"/>
          <w:szCs w:val="24"/>
        </w:rPr>
      </w:pPr>
      <w:r w:rsidRPr="00A517BA">
        <w:rPr>
          <w:sz w:val="24"/>
          <w:szCs w:val="24"/>
        </w:rPr>
        <w:t>Where relevant, our policies include reference to the importance or avoiding discrimination.</w:t>
      </w:r>
    </w:p>
    <w:p w:rsidR="004F1F0E" w:rsidRPr="00A517BA" w:rsidRDefault="004F1F0E" w:rsidP="004F1F0E">
      <w:pPr>
        <w:rPr>
          <w:sz w:val="24"/>
          <w:szCs w:val="24"/>
        </w:rPr>
      </w:pPr>
      <w:r w:rsidRPr="00A517BA">
        <w:rPr>
          <w:sz w:val="24"/>
          <w:szCs w:val="24"/>
        </w:rPr>
        <w:t>Staff and governors are reminded of their responsibilities and it is recorded in minutes of meetings.</w:t>
      </w:r>
    </w:p>
    <w:p w:rsidR="004F1F0E" w:rsidRPr="00A517BA" w:rsidRDefault="004F1F0E" w:rsidP="004F1F0E">
      <w:pPr>
        <w:rPr>
          <w:sz w:val="24"/>
          <w:szCs w:val="24"/>
        </w:rPr>
      </w:pPr>
      <w:r w:rsidRPr="00A517BA">
        <w:rPr>
          <w:sz w:val="24"/>
          <w:szCs w:val="24"/>
        </w:rPr>
        <w:t>New staff receive training as part of their induction and staff receive refresher training annually.</w:t>
      </w:r>
    </w:p>
    <w:p w:rsidR="004F1F0E" w:rsidRPr="00A517BA" w:rsidRDefault="004F1F0E" w:rsidP="004F1F0E">
      <w:pPr>
        <w:rPr>
          <w:sz w:val="24"/>
          <w:szCs w:val="24"/>
        </w:rPr>
      </w:pPr>
    </w:p>
    <w:p w:rsidR="004F1F0E" w:rsidRPr="00A517BA" w:rsidRDefault="004F1F0E" w:rsidP="004F1F0E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In fulfilling the duty, Styal Primary School will:</w:t>
      </w:r>
    </w:p>
    <w:p w:rsidR="004F1F0E" w:rsidRPr="00A517BA" w:rsidRDefault="004F1F0E" w:rsidP="004F1F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Publish attainment data showing how pupils with different characteristics are performing</w:t>
      </w:r>
    </w:p>
    <w:p w:rsidR="004F1F0E" w:rsidRDefault="004F1F0E" w:rsidP="004F1F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7BA">
        <w:rPr>
          <w:sz w:val="24"/>
          <w:szCs w:val="24"/>
        </w:rPr>
        <w:t>Analyse the data to determine strengths and areas for improvement and implement actions</w:t>
      </w:r>
    </w:p>
    <w:p w:rsidR="002C0D31" w:rsidRPr="00A517BA" w:rsidRDefault="002C0D31" w:rsidP="002C0D31">
      <w:pPr>
        <w:pStyle w:val="ListParagraph"/>
        <w:rPr>
          <w:sz w:val="24"/>
          <w:szCs w:val="24"/>
        </w:rPr>
      </w:pPr>
    </w:p>
    <w:p w:rsidR="004F1F0E" w:rsidRPr="00A517BA" w:rsidRDefault="004F1F0E" w:rsidP="004F1F0E">
      <w:pPr>
        <w:rPr>
          <w:b/>
          <w:sz w:val="24"/>
          <w:szCs w:val="24"/>
        </w:rPr>
      </w:pPr>
      <w:r w:rsidRPr="00A517BA">
        <w:rPr>
          <w:b/>
          <w:sz w:val="24"/>
          <w:szCs w:val="24"/>
        </w:rPr>
        <w:t>How Styal Primary School fosters good relations:</w:t>
      </w:r>
    </w:p>
    <w:p w:rsidR="004F1F0E" w:rsidRDefault="00F7272B" w:rsidP="002C0D31">
      <w:pPr>
        <w:rPr>
          <w:sz w:val="24"/>
          <w:szCs w:val="24"/>
        </w:rPr>
      </w:pPr>
      <w:r>
        <w:rPr>
          <w:sz w:val="24"/>
          <w:szCs w:val="24"/>
        </w:rPr>
        <w:t>Styal Primary School prides itself on being an inclusive school that cares for every individual child. We aim</w:t>
      </w:r>
      <w:r w:rsidR="006E4BC9">
        <w:rPr>
          <w:sz w:val="24"/>
          <w:szCs w:val="24"/>
        </w:rPr>
        <w:t xml:space="preserve"> to foster good relations between those who share a protected characteristic and those who do not share it by:</w:t>
      </w:r>
    </w:p>
    <w:p w:rsidR="006E4BC9" w:rsidRDefault="006E4BC9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Promoting tolerance and understanding of a range of religions and cultures. For exa</w:t>
      </w:r>
      <w:r w:rsidR="00F7272B">
        <w:rPr>
          <w:sz w:val="24"/>
          <w:szCs w:val="24"/>
        </w:rPr>
        <w:t>mple,</w:t>
      </w:r>
      <w:r w:rsidR="00493F13">
        <w:rPr>
          <w:sz w:val="24"/>
          <w:szCs w:val="24"/>
        </w:rPr>
        <w:t xml:space="preserve"> in the teaching of RE, SRE, </w:t>
      </w:r>
      <w:r w:rsidR="00F7272B">
        <w:rPr>
          <w:sz w:val="24"/>
          <w:szCs w:val="24"/>
        </w:rPr>
        <w:t>by actively promoting Britis</w:t>
      </w:r>
      <w:r w:rsidR="00493F13">
        <w:rPr>
          <w:sz w:val="24"/>
          <w:szCs w:val="24"/>
        </w:rPr>
        <w:t>h Values and an ethos of respect, tolerance and valuing diversity.</w:t>
      </w:r>
    </w:p>
    <w:p w:rsidR="006E4BC9" w:rsidRDefault="006E4BC9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Holding assemblies linked with relevant issues</w:t>
      </w:r>
      <w:r w:rsidR="00F7272B">
        <w:rPr>
          <w:sz w:val="24"/>
          <w:szCs w:val="24"/>
        </w:rPr>
        <w:t>.</w:t>
      </w:r>
    </w:p>
    <w:p w:rsidR="006E4BC9" w:rsidRDefault="006E4BC9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Working with our community</w:t>
      </w:r>
      <w:r w:rsidR="00F727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E4BC9" w:rsidRDefault="006E4BC9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pupils encouraged to take part in school’s clubs such as sports clubs</w:t>
      </w:r>
      <w:r w:rsidR="00F7272B">
        <w:rPr>
          <w:sz w:val="24"/>
          <w:szCs w:val="24"/>
        </w:rPr>
        <w:t>.</w:t>
      </w:r>
    </w:p>
    <w:p w:rsidR="00F7272B" w:rsidRDefault="00F7272B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Monitoring and evaluating the attainment and progress of all pupils – looking at the performance of particular groups who share a protected characteristic to compare their performance against those who do not share it.</w:t>
      </w:r>
    </w:p>
    <w:p w:rsidR="00F7272B" w:rsidRDefault="00F7272B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Interventions to maximise the potential of all pupils.</w:t>
      </w:r>
    </w:p>
    <w:p w:rsidR="00F7272B" w:rsidRDefault="00F7272B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Supporting all our staff and pupils to reach their potential.</w:t>
      </w:r>
    </w:p>
    <w:p w:rsidR="00493F13" w:rsidRDefault="00F7272B" w:rsidP="006E4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take reasonable steps and make reasonable adjustment to meet disabled pupils’ needs. This is to ensure that all children can access the school’s environment and activities. </w:t>
      </w:r>
      <w:r w:rsidR="0025212C">
        <w:rPr>
          <w:sz w:val="24"/>
          <w:szCs w:val="24"/>
        </w:rPr>
        <w:t xml:space="preserve"> We regularly review our accessibility plans.</w:t>
      </w:r>
    </w:p>
    <w:p w:rsidR="00F7272B" w:rsidRPr="00493F13" w:rsidRDefault="00F7272B" w:rsidP="00493F13">
      <w:pPr>
        <w:ind w:left="360"/>
        <w:rPr>
          <w:sz w:val="24"/>
          <w:szCs w:val="24"/>
        </w:rPr>
      </w:pPr>
      <w:r w:rsidRPr="00493F13">
        <w:rPr>
          <w:sz w:val="24"/>
          <w:szCs w:val="24"/>
        </w:rPr>
        <w:t xml:space="preserve"> </w:t>
      </w:r>
    </w:p>
    <w:p w:rsidR="00F3380B" w:rsidRDefault="00F3380B" w:rsidP="00F3380B">
      <w:pPr>
        <w:rPr>
          <w:sz w:val="24"/>
          <w:szCs w:val="24"/>
        </w:rPr>
      </w:pPr>
    </w:p>
    <w:p w:rsidR="00CE5ED5" w:rsidRDefault="00CE5ED5" w:rsidP="00F3380B">
      <w:pPr>
        <w:rPr>
          <w:sz w:val="24"/>
          <w:szCs w:val="24"/>
        </w:rPr>
      </w:pPr>
    </w:p>
    <w:p w:rsidR="00F3380B" w:rsidRPr="00F3380B" w:rsidRDefault="00F3380B" w:rsidP="00F3380B">
      <w:pPr>
        <w:rPr>
          <w:b/>
          <w:sz w:val="24"/>
          <w:szCs w:val="24"/>
        </w:rPr>
      </w:pPr>
      <w:r w:rsidRPr="00F3380B">
        <w:rPr>
          <w:b/>
          <w:sz w:val="24"/>
          <w:szCs w:val="24"/>
        </w:rPr>
        <w:t>Links with other policies: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SEND Policy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Positive Behaviour Policy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Anti-Bullying Policy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 Policy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SRE Policy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Code of Conduct</w:t>
      </w:r>
    </w:p>
    <w:p w:rsidR="00F3380B" w:rsidRDefault="00F3380B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Induction Policy</w:t>
      </w:r>
    </w:p>
    <w:p w:rsidR="00291747" w:rsidRDefault="00291747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Statement on British Values</w:t>
      </w:r>
    </w:p>
    <w:p w:rsidR="000274AA" w:rsidRPr="00F3380B" w:rsidRDefault="000274AA" w:rsidP="00F338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Accessibility Policy</w:t>
      </w:r>
    </w:p>
    <w:p w:rsidR="00F3380B" w:rsidRDefault="00F3380B" w:rsidP="002C0D31">
      <w:pPr>
        <w:rPr>
          <w:sz w:val="24"/>
          <w:szCs w:val="24"/>
        </w:rPr>
      </w:pPr>
    </w:p>
    <w:p w:rsidR="002C0D31" w:rsidRPr="002C0D31" w:rsidRDefault="002C0D31" w:rsidP="002C0D31">
      <w:pPr>
        <w:rPr>
          <w:b/>
          <w:sz w:val="24"/>
          <w:szCs w:val="24"/>
        </w:rPr>
      </w:pPr>
      <w:r w:rsidRPr="002C0D31">
        <w:rPr>
          <w:b/>
          <w:sz w:val="24"/>
          <w:szCs w:val="24"/>
        </w:rPr>
        <w:t>Styal Primary School’s Equality Objectives</w:t>
      </w:r>
    </w:p>
    <w:p w:rsidR="000274AA" w:rsidRDefault="002C0D31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train all staff on equal opportunities and non-discrimination </w:t>
      </w:r>
      <w:r w:rsidR="000274AA">
        <w:rPr>
          <w:sz w:val="24"/>
          <w:szCs w:val="24"/>
        </w:rPr>
        <w:t>– add to Induction Plan</w:t>
      </w:r>
    </w:p>
    <w:p w:rsidR="002C0D31" w:rsidRDefault="002C0D31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Training evaluation will show that </w:t>
      </w:r>
      <w:r w:rsidR="00A96277">
        <w:rPr>
          <w:sz w:val="24"/>
          <w:szCs w:val="24"/>
        </w:rPr>
        <w:t xml:space="preserve">all </w:t>
      </w:r>
      <w:r>
        <w:rPr>
          <w:sz w:val="24"/>
          <w:szCs w:val="24"/>
        </w:rPr>
        <w:t>staff will have a good understanding of the legal requirements.</w:t>
      </w:r>
    </w:p>
    <w:p w:rsidR="002C0D31" w:rsidRDefault="002C0D31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adopt a whole school approach to provide staff with formal guidance on how to deal with </w:t>
      </w:r>
      <w:r w:rsidR="006E4BC9">
        <w:rPr>
          <w:sz w:val="24"/>
          <w:szCs w:val="24"/>
        </w:rPr>
        <w:t>equality issues</w:t>
      </w:r>
      <w:r w:rsidR="002D2D83">
        <w:rPr>
          <w:sz w:val="24"/>
          <w:szCs w:val="24"/>
        </w:rPr>
        <w:t>.</w:t>
      </w:r>
    </w:p>
    <w:p w:rsidR="0025212C" w:rsidRDefault="0025212C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develop a</w:t>
      </w:r>
      <w:r w:rsidR="00EB7A2C">
        <w:rPr>
          <w:sz w:val="24"/>
          <w:szCs w:val="24"/>
        </w:rPr>
        <w:t>n</w:t>
      </w:r>
      <w:r>
        <w:rPr>
          <w:sz w:val="24"/>
          <w:szCs w:val="24"/>
        </w:rPr>
        <w:t xml:space="preserve"> Equality section on our website.</w:t>
      </w:r>
    </w:p>
    <w:p w:rsidR="00A96277" w:rsidRDefault="00A96277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ensure attainment of children from ethnic minority backgrounds match that of other groups of children.</w:t>
      </w:r>
      <w:r>
        <w:rPr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0"/>
        <w:gridCol w:w="750"/>
        <w:gridCol w:w="702"/>
        <w:gridCol w:w="619"/>
        <w:gridCol w:w="653"/>
        <w:gridCol w:w="642"/>
        <w:gridCol w:w="820"/>
      </w:tblGrid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>
              <w:t>2019-2020 (117 on roll)</w:t>
            </w:r>
          </w:p>
        </w:tc>
        <w:tc>
          <w:tcPr>
            <w:tcW w:w="2089" w:type="dxa"/>
            <w:gridSpan w:val="3"/>
          </w:tcPr>
          <w:p w:rsidR="00A96277" w:rsidRDefault="00A96277" w:rsidP="00BB3D59">
            <w:pPr>
              <w:pStyle w:val="ListParagraph"/>
              <w:ind w:left="0"/>
            </w:pPr>
            <w:r>
              <w:t>Ethnic Minorities</w:t>
            </w:r>
          </w:p>
        </w:tc>
        <w:tc>
          <w:tcPr>
            <w:tcW w:w="2135" w:type="dxa"/>
            <w:gridSpan w:val="3"/>
          </w:tcPr>
          <w:p w:rsidR="00A96277" w:rsidRDefault="00A96277" w:rsidP="00BB3D59">
            <w:pPr>
              <w:pStyle w:val="ListParagraph"/>
              <w:ind w:left="0"/>
            </w:pPr>
            <w:r>
              <w:t>Ethnic Majority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>
              <w:t>Whole school</w:t>
            </w:r>
          </w:p>
        </w:tc>
        <w:tc>
          <w:tcPr>
            <w:tcW w:w="2089" w:type="dxa"/>
            <w:gridSpan w:val="3"/>
          </w:tcPr>
          <w:p w:rsidR="00A96277" w:rsidRDefault="00A96277" w:rsidP="00BB3D59">
            <w:pPr>
              <w:pStyle w:val="ListParagraph"/>
              <w:ind w:left="0"/>
              <w:jc w:val="center"/>
            </w:pPr>
            <w:r>
              <w:t>28 (24%)</w:t>
            </w:r>
          </w:p>
        </w:tc>
        <w:tc>
          <w:tcPr>
            <w:tcW w:w="2135" w:type="dxa"/>
            <w:gridSpan w:val="3"/>
          </w:tcPr>
          <w:p w:rsidR="00A96277" w:rsidRDefault="00A96277" w:rsidP="00BB3D59">
            <w:pPr>
              <w:pStyle w:val="ListParagraph"/>
              <w:ind w:left="0"/>
              <w:jc w:val="center"/>
            </w:pPr>
            <w:r>
              <w:t>89 (76%)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>
              <w:t xml:space="preserve">KS1 </w:t>
            </w:r>
          </w:p>
        </w:tc>
        <w:tc>
          <w:tcPr>
            <w:tcW w:w="2089" w:type="dxa"/>
            <w:gridSpan w:val="3"/>
          </w:tcPr>
          <w:p w:rsidR="00A96277" w:rsidRDefault="00A96277" w:rsidP="00BB3D59">
            <w:pPr>
              <w:pStyle w:val="ListParagraph"/>
              <w:ind w:left="0"/>
              <w:jc w:val="center"/>
            </w:pPr>
            <w:r>
              <w:t>22%</w:t>
            </w:r>
          </w:p>
        </w:tc>
        <w:tc>
          <w:tcPr>
            <w:tcW w:w="2135" w:type="dxa"/>
            <w:gridSpan w:val="3"/>
          </w:tcPr>
          <w:p w:rsidR="00A96277" w:rsidRDefault="00A96277" w:rsidP="00BB3D59">
            <w:pPr>
              <w:pStyle w:val="ListParagraph"/>
              <w:ind w:left="0"/>
              <w:jc w:val="center"/>
            </w:pPr>
            <w:r>
              <w:t>78%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>
              <w:t>KS2</w:t>
            </w:r>
          </w:p>
        </w:tc>
        <w:tc>
          <w:tcPr>
            <w:tcW w:w="2089" w:type="dxa"/>
            <w:gridSpan w:val="3"/>
          </w:tcPr>
          <w:p w:rsidR="00A96277" w:rsidRDefault="00A96277" w:rsidP="00BB3D59">
            <w:pPr>
              <w:pStyle w:val="ListParagraph"/>
              <w:ind w:left="0"/>
              <w:jc w:val="center"/>
            </w:pPr>
            <w:r>
              <w:t>24%</w:t>
            </w:r>
          </w:p>
        </w:tc>
        <w:tc>
          <w:tcPr>
            <w:tcW w:w="2135" w:type="dxa"/>
            <w:gridSpan w:val="3"/>
          </w:tcPr>
          <w:p w:rsidR="00A96277" w:rsidRDefault="00A96277" w:rsidP="00BB3D59">
            <w:pPr>
              <w:pStyle w:val="ListParagraph"/>
              <w:ind w:left="0"/>
              <w:jc w:val="center"/>
            </w:pPr>
            <w:r>
              <w:t>76%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>
              <w:t>Assessed Areas as of March 2020</w:t>
            </w:r>
          </w:p>
        </w:tc>
        <w:tc>
          <w:tcPr>
            <w:tcW w:w="760" w:type="dxa"/>
          </w:tcPr>
          <w:p w:rsidR="00A96277" w:rsidRDefault="00A96277" w:rsidP="00BB3D5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09" w:type="dxa"/>
          </w:tcPr>
          <w:p w:rsidR="00A96277" w:rsidRDefault="00A96277" w:rsidP="00BB3D59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620" w:type="dxa"/>
          </w:tcPr>
          <w:p w:rsidR="00A96277" w:rsidRDefault="00A96277" w:rsidP="00BB3D59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656" w:type="dxa"/>
          </w:tcPr>
          <w:p w:rsidR="00A96277" w:rsidRDefault="00A96277" w:rsidP="00BB3D5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645" w:type="dxa"/>
          </w:tcPr>
          <w:p w:rsidR="00A96277" w:rsidRDefault="00A96277" w:rsidP="00BB3D59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834" w:type="dxa"/>
          </w:tcPr>
          <w:p w:rsidR="00A96277" w:rsidRDefault="00A96277" w:rsidP="00BB3D59">
            <w:pPr>
              <w:pStyle w:val="ListParagraph"/>
              <w:ind w:left="0"/>
            </w:pPr>
            <w:r>
              <w:t>M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 w:rsidRPr="001A65D2">
              <w:t>% of children at the end of KS1 at expected</w:t>
            </w:r>
            <w:r>
              <w:t xml:space="preserve"> at Reading writing and Maths (RWM)</w:t>
            </w:r>
          </w:p>
        </w:tc>
        <w:tc>
          <w:tcPr>
            <w:tcW w:w="760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709" w:type="dxa"/>
          </w:tcPr>
          <w:p w:rsidR="00A96277" w:rsidRDefault="00A96277" w:rsidP="00BB3D59">
            <w:pPr>
              <w:pStyle w:val="ListParagraph"/>
              <w:ind w:left="0"/>
            </w:pPr>
            <w:r>
              <w:t>22%</w:t>
            </w:r>
          </w:p>
        </w:tc>
        <w:tc>
          <w:tcPr>
            <w:tcW w:w="620" w:type="dxa"/>
          </w:tcPr>
          <w:p w:rsidR="00A96277" w:rsidRDefault="00A96277" w:rsidP="00BB3D59">
            <w:pPr>
              <w:pStyle w:val="ListParagraph"/>
              <w:ind w:left="0"/>
            </w:pPr>
            <w:r>
              <w:t>11%</w:t>
            </w:r>
          </w:p>
        </w:tc>
        <w:tc>
          <w:tcPr>
            <w:tcW w:w="656" w:type="dxa"/>
          </w:tcPr>
          <w:p w:rsidR="00A96277" w:rsidRDefault="00A96277" w:rsidP="00BB3D59">
            <w:pPr>
              <w:pStyle w:val="ListParagraph"/>
              <w:ind w:left="0"/>
            </w:pPr>
            <w:r>
              <w:t>44%</w:t>
            </w:r>
          </w:p>
        </w:tc>
        <w:tc>
          <w:tcPr>
            <w:tcW w:w="645" w:type="dxa"/>
          </w:tcPr>
          <w:p w:rsidR="00A96277" w:rsidRDefault="00A96277" w:rsidP="00BB3D59">
            <w:pPr>
              <w:pStyle w:val="ListParagraph"/>
              <w:ind w:left="0"/>
            </w:pPr>
            <w:r>
              <w:t>72%</w:t>
            </w:r>
          </w:p>
        </w:tc>
        <w:tc>
          <w:tcPr>
            <w:tcW w:w="834" w:type="dxa"/>
          </w:tcPr>
          <w:p w:rsidR="00A96277" w:rsidRDefault="00A96277" w:rsidP="00BB3D59">
            <w:pPr>
              <w:pStyle w:val="ListParagraph"/>
              <w:ind w:left="0"/>
            </w:pPr>
            <w:r>
              <w:t>50%</w:t>
            </w:r>
          </w:p>
        </w:tc>
      </w:tr>
      <w:tr w:rsidR="00A96277" w:rsidTr="00BB3D59">
        <w:tc>
          <w:tcPr>
            <w:tcW w:w="4298" w:type="dxa"/>
          </w:tcPr>
          <w:p w:rsidR="00A96277" w:rsidRPr="001A65D2" w:rsidRDefault="00A96277" w:rsidP="00BB3D59">
            <w:pPr>
              <w:pStyle w:val="ListParagraph"/>
              <w:ind w:left="0"/>
            </w:pPr>
            <w:r w:rsidRPr="00835EC9">
              <w:t xml:space="preserve">% of children at the end of KS1 at </w:t>
            </w:r>
            <w:r>
              <w:t>exceeded</w:t>
            </w:r>
            <w:r w:rsidRPr="00835EC9">
              <w:t xml:space="preserve"> at Reading writing and Maths (RWM)</w:t>
            </w:r>
          </w:p>
        </w:tc>
        <w:tc>
          <w:tcPr>
            <w:tcW w:w="760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709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620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656" w:type="dxa"/>
          </w:tcPr>
          <w:p w:rsidR="00A96277" w:rsidRDefault="00A96277" w:rsidP="00BB3D59">
            <w:pPr>
              <w:pStyle w:val="ListParagraph"/>
              <w:ind w:left="0"/>
            </w:pPr>
            <w:r>
              <w:t>22%</w:t>
            </w:r>
          </w:p>
        </w:tc>
        <w:tc>
          <w:tcPr>
            <w:tcW w:w="645" w:type="dxa"/>
          </w:tcPr>
          <w:p w:rsidR="00A96277" w:rsidRDefault="00A96277" w:rsidP="00BB3D59">
            <w:pPr>
              <w:pStyle w:val="ListParagraph"/>
              <w:ind w:left="0"/>
            </w:pPr>
            <w:r>
              <w:t>11%</w:t>
            </w:r>
          </w:p>
        </w:tc>
        <w:tc>
          <w:tcPr>
            <w:tcW w:w="834" w:type="dxa"/>
          </w:tcPr>
          <w:p w:rsidR="00A96277" w:rsidRDefault="00A96277" w:rsidP="00BB3D59">
            <w:pPr>
              <w:pStyle w:val="ListParagraph"/>
              <w:ind w:left="0"/>
            </w:pPr>
            <w:r>
              <w:t>11%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 w:rsidRPr="00853588">
              <w:t>% of children at the end of KS</w:t>
            </w:r>
            <w:r>
              <w:t>2</w:t>
            </w:r>
            <w:r w:rsidRPr="00853588">
              <w:t xml:space="preserve"> at expected at Reading writing and Maths</w:t>
            </w:r>
            <w:r>
              <w:t xml:space="preserve"> (RWM)</w:t>
            </w:r>
          </w:p>
        </w:tc>
        <w:tc>
          <w:tcPr>
            <w:tcW w:w="760" w:type="dxa"/>
          </w:tcPr>
          <w:p w:rsidR="00A96277" w:rsidRDefault="00A96277" w:rsidP="00BB3D59">
            <w:pPr>
              <w:pStyle w:val="ListParagraph"/>
              <w:ind w:left="0"/>
            </w:pPr>
            <w:r>
              <w:t>18%</w:t>
            </w:r>
          </w:p>
        </w:tc>
        <w:tc>
          <w:tcPr>
            <w:tcW w:w="709" w:type="dxa"/>
          </w:tcPr>
          <w:p w:rsidR="00A96277" w:rsidRDefault="00A96277" w:rsidP="00BB3D59">
            <w:pPr>
              <w:pStyle w:val="ListParagraph"/>
              <w:ind w:left="0"/>
            </w:pPr>
            <w:r>
              <w:t>12%</w:t>
            </w:r>
          </w:p>
        </w:tc>
        <w:tc>
          <w:tcPr>
            <w:tcW w:w="620" w:type="dxa"/>
          </w:tcPr>
          <w:p w:rsidR="00A96277" w:rsidRDefault="00A96277" w:rsidP="00BB3D59">
            <w:pPr>
              <w:pStyle w:val="ListParagraph"/>
              <w:ind w:left="0"/>
            </w:pPr>
            <w:r>
              <w:t>24%</w:t>
            </w:r>
          </w:p>
        </w:tc>
        <w:tc>
          <w:tcPr>
            <w:tcW w:w="656" w:type="dxa"/>
          </w:tcPr>
          <w:p w:rsidR="00A96277" w:rsidRDefault="00A96277" w:rsidP="00BB3D59">
            <w:pPr>
              <w:pStyle w:val="ListParagraph"/>
              <w:ind w:left="0"/>
            </w:pPr>
            <w:r>
              <w:t>54%</w:t>
            </w:r>
          </w:p>
        </w:tc>
        <w:tc>
          <w:tcPr>
            <w:tcW w:w="645" w:type="dxa"/>
          </w:tcPr>
          <w:p w:rsidR="00A96277" w:rsidRDefault="00A96277" w:rsidP="00BB3D59">
            <w:pPr>
              <w:pStyle w:val="ListParagraph"/>
              <w:ind w:left="0"/>
            </w:pPr>
            <w:r>
              <w:t>53%</w:t>
            </w:r>
          </w:p>
        </w:tc>
        <w:tc>
          <w:tcPr>
            <w:tcW w:w="834" w:type="dxa"/>
          </w:tcPr>
          <w:p w:rsidR="00A96277" w:rsidRDefault="00A96277" w:rsidP="00BB3D59">
            <w:pPr>
              <w:pStyle w:val="ListParagraph"/>
              <w:ind w:left="0"/>
            </w:pPr>
            <w:r>
              <w:t>53%</w:t>
            </w:r>
          </w:p>
        </w:tc>
      </w:tr>
      <w:tr w:rsidR="00A96277" w:rsidTr="00BB3D59">
        <w:tc>
          <w:tcPr>
            <w:tcW w:w="4298" w:type="dxa"/>
          </w:tcPr>
          <w:p w:rsidR="00A96277" w:rsidRDefault="00A96277" w:rsidP="00BB3D59">
            <w:pPr>
              <w:pStyle w:val="ListParagraph"/>
              <w:ind w:left="0"/>
            </w:pPr>
            <w:r w:rsidRPr="00853588">
              <w:t>% of children at the end of KS</w:t>
            </w:r>
            <w:r>
              <w:t>2</w:t>
            </w:r>
            <w:r w:rsidRPr="00853588">
              <w:t xml:space="preserve"> at ex</w:t>
            </w:r>
            <w:r>
              <w:t>ceeded read</w:t>
            </w:r>
            <w:r w:rsidRPr="00853588">
              <w:t>ing writing and Maths</w:t>
            </w:r>
            <w:r>
              <w:t xml:space="preserve"> (RWM)</w:t>
            </w:r>
          </w:p>
        </w:tc>
        <w:tc>
          <w:tcPr>
            <w:tcW w:w="760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709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620" w:type="dxa"/>
          </w:tcPr>
          <w:p w:rsidR="00A96277" w:rsidRDefault="00A96277" w:rsidP="00BB3D59">
            <w:pPr>
              <w:pStyle w:val="ListParagraph"/>
              <w:ind w:left="0"/>
            </w:pPr>
          </w:p>
        </w:tc>
        <w:tc>
          <w:tcPr>
            <w:tcW w:w="656" w:type="dxa"/>
          </w:tcPr>
          <w:p w:rsidR="00A96277" w:rsidRDefault="00A96277" w:rsidP="00BB3D59">
            <w:pPr>
              <w:pStyle w:val="ListParagraph"/>
              <w:ind w:left="0"/>
            </w:pPr>
            <w:r>
              <w:t>29%</w:t>
            </w:r>
          </w:p>
        </w:tc>
        <w:tc>
          <w:tcPr>
            <w:tcW w:w="645" w:type="dxa"/>
          </w:tcPr>
          <w:p w:rsidR="00A96277" w:rsidRDefault="00A96277" w:rsidP="00BB3D59">
            <w:pPr>
              <w:pStyle w:val="ListParagraph"/>
              <w:ind w:left="0"/>
            </w:pPr>
            <w:r>
              <w:t>6%</w:t>
            </w:r>
          </w:p>
        </w:tc>
        <w:tc>
          <w:tcPr>
            <w:tcW w:w="834" w:type="dxa"/>
          </w:tcPr>
          <w:p w:rsidR="00A96277" w:rsidRDefault="00A96277" w:rsidP="00BB3D59">
            <w:pPr>
              <w:pStyle w:val="ListParagraph"/>
              <w:ind w:left="0"/>
            </w:pPr>
            <w:r>
              <w:t>18%</w:t>
            </w:r>
          </w:p>
        </w:tc>
      </w:tr>
    </w:tbl>
    <w:p w:rsidR="00A96277" w:rsidRDefault="00A96277" w:rsidP="00A96277">
      <w:pPr>
        <w:pStyle w:val="ListParagraph"/>
        <w:rPr>
          <w:sz w:val="24"/>
          <w:szCs w:val="24"/>
        </w:rPr>
      </w:pPr>
    </w:p>
    <w:p w:rsidR="00EB7A2C" w:rsidRDefault="00EB7A2C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School Council in</w:t>
      </w:r>
      <w:r w:rsidR="000274AA">
        <w:rPr>
          <w:sz w:val="24"/>
          <w:szCs w:val="24"/>
        </w:rPr>
        <w:t>troduced in</w:t>
      </w:r>
      <w:r>
        <w:rPr>
          <w:sz w:val="24"/>
          <w:szCs w:val="24"/>
        </w:rPr>
        <w:t xml:space="preserve"> Autumn 2020. We will seek the views of children to understand how children experience life at Styal Primary School. </w:t>
      </w:r>
    </w:p>
    <w:p w:rsidR="002C0D31" w:rsidRDefault="002C0D31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ensure that future reviews of relevant school policies include reference to equality</w:t>
      </w:r>
    </w:p>
    <w:p w:rsidR="006E4BC9" w:rsidRDefault="006E4BC9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 ensure there is due regard to equality considerations whenever significant decisions are made</w:t>
      </w:r>
      <w:r w:rsidR="00F3380B">
        <w:rPr>
          <w:sz w:val="24"/>
          <w:szCs w:val="24"/>
        </w:rPr>
        <w:t xml:space="preserve"> such as when organising educational visits</w:t>
      </w:r>
      <w:r w:rsidR="00A96277">
        <w:rPr>
          <w:sz w:val="24"/>
          <w:szCs w:val="24"/>
        </w:rPr>
        <w:t xml:space="preserve"> and clubs</w:t>
      </w:r>
      <w:r w:rsidR="00F3380B">
        <w:rPr>
          <w:sz w:val="24"/>
          <w:szCs w:val="24"/>
        </w:rPr>
        <w:t xml:space="preserve">. </w:t>
      </w:r>
      <w:r w:rsidR="00F3380B">
        <w:rPr>
          <w:sz w:val="24"/>
          <w:szCs w:val="24"/>
        </w:rPr>
        <w:br/>
        <w:t xml:space="preserve">Does it cut across a religious holiday? </w:t>
      </w:r>
      <w:r w:rsidR="00F3380B">
        <w:rPr>
          <w:sz w:val="24"/>
          <w:szCs w:val="24"/>
        </w:rPr>
        <w:br/>
        <w:t>Is it accessible to children with disabilities?</w:t>
      </w:r>
      <w:r w:rsidR="00F3380B">
        <w:rPr>
          <w:sz w:val="24"/>
          <w:szCs w:val="24"/>
        </w:rPr>
        <w:br/>
        <w:t>Does it have equivalent facilities for boys and girls?</w:t>
      </w:r>
    </w:p>
    <w:p w:rsidR="00493F13" w:rsidRDefault="00493F13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analyse bullying and prejudice related incidents to ensure they are dealt with effectively</w:t>
      </w:r>
      <w:r w:rsidR="00A96277">
        <w:rPr>
          <w:sz w:val="24"/>
          <w:szCs w:val="24"/>
        </w:rPr>
        <w:t xml:space="preserve"> – </w:t>
      </w:r>
      <w:r w:rsidR="000274AA">
        <w:rPr>
          <w:sz w:val="24"/>
          <w:szCs w:val="24"/>
        </w:rPr>
        <w:t>introduce system of logs:</w:t>
      </w:r>
      <w:r w:rsidR="000274AA">
        <w:rPr>
          <w:sz w:val="24"/>
          <w:szCs w:val="24"/>
        </w:rPr>
        <w:br/>
        <w:t>Anti-Bullying Log</w:t>
      </w:r>
      <w:r w:rsidR="000274AA">
        <w:rPr>
          <w:sz w:val="24"/>
          <w:szCs w:val="24"/>
        </w:rPr>
        <w:br/>
        <w:t>Child on Child / Sexual Harassment Log</w:t>
      </w:r>
      <w:r w:rsidR="000274AA">
        <w:rPr>
          <w:sz w:val="24"/>
          <w:szCs w:val="24"/>
        </w:rPr>
        <w:br/>
        <w:t>On-line Incident Log</w:t>
      </w:r>
      <w:r w:rsidR="000274AA">
        <w:rPr>
          <w:sz w:val="24"/>
          <w:szCs w:val="24"/>
        </w:rPr>
        <w:br/>
        <w:t>To purchase CPOMs to aide the tracking of incidents and check for patterns.</w:t>
      </w:r>
    </w:p>
    <w:p w:rsidR="00F3380B" w:rsidRDefault="004136D7" w:rsidP="002C0D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Governors</w:t>
      </w:r>
      <w:r w:rsidR="00F3380B">
        <w:rPr>
          <w:sz w:val="24"/>
          <w:szCs w:val="24"/>
        </w:rPr>
        <w:t xml:space="preserve"> will update the equality information we publish.</w:t>
      </w:r>
      <w:r w:rsidR="00F3380B">
        <w:rPr>
          <w:sz w:val="24"/>
          <w:szCs w:val="24"/>
        </w:rPr>
        <w:br/>
        <w:t>This document will be reviewed every 4 years.</w:t>
      </w:r>
    </w:p>
    <w:p w:rsidR="00493F13" w:rsidRDefault="00F3380B" w:rsidP="00493F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document will be approved by the governing body </w:t>
      </w:r>
      <w:r w:rsidR="000274AA">
        <w:rPr>
          <w:sz w:val="24"/>
          <w:szCs w:val="24"/>
        </w:rPr>
        <w:t>Spring 2023.</w:t>
      </w:r>
    </w:p>
    <w:p w:rsidR="00493F13" w:rsidRPr="00493F13" w:rsidRDefault="00493F13" w:rsidP="00493F13">
      <w:pPr>
        <w:rPr>
          <w:sz w:val="24"/>
          <w:szCs w:val="24"/>
        </w:rPr>
      </w:pPr>
    </w:p>
    <w:p w:rsidR="002C0D31" w:rsidRPr="006E4BC9" w:rsidRDefault="002C0D31" w:rsidP="006E4BC9">
      <w:pPr>
        <w:ind w:left="360"/>
        <w:rPr>
          <w:sz w:val="24"/>
          <w:szCs w:val="24"/>
        </w:rPr>
      </w:pPr>
    </w:p>
    <w:p w:rsidR="00470C91" w:rsidRDefault="00470C91" w:rsidP="00E67081">
      <w:pPr>
        <w:rPr>
          <w:sz w:val="28"/>
          <w:szCs w:val="28"/>
        </w:rPr>
      </w:pPr>
    </w:p>
    <w:p w:rsidR="00470C91" w:rsidRDefault="00470C91" w:rsidP="00FE7BD2">
      <w:pPr>
        <w:jc w:val="center"/>
        <w:rPr>
          <w:sz w:val="28"/>
          <w:szCs w:val="28"/>
        </w:rPr>
      </w:pPr>
    </w:p>
    <w:p w:rsidR="00470C91" w:rsidRPr="00FE7BD2" w:rsidRDefault="00470C91" w:rsidP="00FE7BD2">
      <w:pPr>
        <w:jc w:val="center"/>
        <w:rPr>
          <w:sz w:val="28"/>
          <w:szCs w:val="28"/>
        </w:rPr>
      </w:pPr>
    </w:p>
    <w:sectPr w:rsidR="00470C91" w:rsidRPr="00FE7BD2" w:rsidSect="00FE7BD2">
      <w:pgSz w:w="11906" w:h="16838"/>
      <w:pgMar w:top="1440" w:right="1440" w:bottom="1440" w:left="1440" w:header="708" w:footer="708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2EE2"/>
    <w:multiLevelType w:val="hybridMultilevel"/>
    <w:tmpl w:val="90966796"/>
    <w:lvl w:ilvl="0" w:tplc="200CDA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2D1"/>
    <w:multiLevelType w:val="hybridMultilevel"/>
    <w:tmpl w:val="4596F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3A03"/>
    <w:multiLevelType w:val="hybridMultilevel"/>
    <w:tmpl w:val="D1FE7534"/>
    <w:lvl w:ilvl="0" w:tplc="27A64F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95813"/>
    <w:multiLevelType w:val="hybridMultilevel"/>
    <w:tmpl w:val="EC68F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D2"/>
    <w:rsid w:val="000274AA"/>
    <w:rsid w:val="0025212C"/>
    <w:rsid w:val="00291747"/>
    <w:rsid w:val="002C0D31"/>
    <w:rsid w:val="002D2D83"/>
    <w:rsid w:val="004136D7"/>
    <w:rsid w:val="00470C91"/>
    <w:rsid w:val="004713BA"/>
    <w:rsid w:val="00493F13"/>
    <w:rsid w:val="004E629D"/>
    <w:rsid w:val="004F1F0E"/>
    <w:rsid w:val="005850DC"/>
    <w:rsid w:val="006E4BC9"/>
    <w:rsid w:val="0077365A"/>
    <w:rsid w:val="00784198"/>
    <w:rsid w:val="00866868"/>
    <w:rsid w:val="008B3564"/>
    <w:rsid w:val="00A517BA"/>
    <w:rsid w:val="00A53FF9"/>
    <w:rsid w:val="00A96277"/>
    <w:rsid w:val="00CE5ED5"/>
    <w:rsid w:val="00D874BB"/>
    <w:rsid w:val="00E67081"/>
    <w:rsid w:val="00EB7A2C"/>
    <w:rsid w:val="00F3380B"/>
    <w:rsid w:val="00F7272B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CF38"/>
  <w15:chartTrackingRefBased/>
  <w15:docId w15:val="{96E84D13-DB61-4CD6-B56E-5349452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3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3B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9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315587/Equality_Act_Advice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1/2260/contents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2010/15/content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3</cp:revision>
  <dcterms:created xsi:type="dcterms:W3CDTF">2023-03-12T16:58:00Z</dcterms:created>
  <dcterms:modified xsi:type="dcterms:W3CDTF">2023-03-12T17:00:00Z</dcterms:modified>
</cp:coreProperties>
</file>